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olo corso"/>
        <w:spacing w:before="0"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(STORIA DELL</w:t>
      </w:r>
      <w:r>
        <w:rPr>
          <w:rFonts w:ascii="Arial Narrow" w:hAnsi="Arial Narrow" w:hint="default"/>
          <w:sz w:val="24"/>
          <w:szCs w:val="24"/>
          <w:rtl w:val="0"/>
          <w:lang w:val="it-IT"/>
        </w:rPr>
        <w:t>’</w:t>
      </w:r>
      <w:r>
        <w:rPr>
          <w:rFonts w:ascii="Arial Narrow" w:hAnsi="Arial Narrow"/>
          <w:sz w:val="24"/>
          <w:szCs w:val="24"/>
          <w:rtl w:val="0"/>
          <w:lang w:val="it-IT"/>
        </w:rPr>
        <w:t xml:space="preserve">ARTE CONTEMPORANEA 1) </w:t>
      </w:r>
      <w:r>
        <w:rPr>
          <w:rFonts w:ascii="Arial Narrow" w:hAnsi="Arial Narrow"/>
          <w:b w:val="0"/>
          <w:bCs w:val="0"/>
          <w:sz w:val="24"/>
          <w:szCs w:val="24"/>
          <w:rtl w:val="0"/>
          <w:lang w:val="it-IT"/>
        </w:rPr>
        <w:t>(CFA 6)</w:t>
      </w:r>
    </w:p>
    <w:p>
      <w:pPr>
        <w:pStyle w:val="titolo corso"/>
        <w:spacing w:before="0" w:line="240" w:lineRule="exact"/>
        <w:rPr>
          <w:rFonts w:ascii="Arial Narrow" w:cs="Arial Narrow" w:hAnsi="Arial Narrow" w:eastAsia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  <w:rtl w:val="0"/>
          <w:lang w:val="it-IT"/>
        </w:rPr>
        <w:t>A.A. 2022/2023</w:t>
      </w:r>
    </w:p>
    <w:p>
      <w:pPr>
        <w:pStyle w:val="titolo corso"/>
        <w:spacing w:before="0" w:line="240" w:lineRule="exact"/>
        <w:rPr>
          <w:rFonts w:ascii="Arial Narrow" w:cs="Arial Narrow" w:hAnsi="Arial Narrow" w:eastAsia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  <w:rtl w:val="0"/>
          <w:lang w:val="it-IT"/>
        </w:rPr>
        <w:t>Progetto del corso</w:t>
      </w:r>
    </w:p>
    <w:p>
      <w:pPr>
        <w:pStyle w:val="titolo corso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DOCENTE</w:t>
      </w:r>
    </w:p>
    <w:p>
      <w:pPr>
        <w:pStyle w:val="Normale"/>
        <w:keepNext w:val="1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(nome docente MAURIZIO COCCIA)</w:t>
      </w:r>
    </w:p>
    <w:p>
      <w:pPr>
        <w:pStyle w:val="Normale"/>
        <w:keepNext w:val="1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(Curriculum max 300 caratteri spazi inclusi)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40" w:lineRule="exact"/>
        <w:jc w:val="both"/>
        <w:rPr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Laurea in Storia della Critica d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Arte presso l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Universit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di Parma. Dal 2003 al 2006 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stato Direttore del Trevi Flash Art Museum. Ora 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Direttore del Centro per l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Arte Contemporanea Palazzo Lucarini di Trevi. 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critico e curatore indipendente; consulente di numerose istituzioni per l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arte pubblica, l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architettura, la didattica museale. Insegna Storia dell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Arte Contemporanea e Storia della Critica d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Arte all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Accademia di Belle Arti dell</w:t>
      </w:r>
      <w:r>
        <w:rPr>
          <w:rFonts w:ascii="Arial Narrow" w:hAnsi="Arial Narrow" w:hint="default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Aquila. Fa parte del Comitato Direttivo della rivista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it-IT"/>
        </w:rPr>
        <w:t>Parol - Quaderni d</w:t>
      </w:r>
      <w:r>
        <w:rPr>
          <w:rFonts w:ascii="Arial Narrow" w:hAnsi="Arial Narrow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it-IT"/>
        </w:rPr>
        <w:t>arte e di epistemologia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. Per Aracne Editore ha pubblicato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Una rivoluzione non richiesta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(2014) e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Cesare Cesariano. Ricomposizione di un problema critico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(2015), per Castelvecchi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it-IT"/>
        </w:rPr>
        <w:t xml:space="preserve">Il leone imbrigliato. Artisti Istituzioni Pubblico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(2019). Suoi testi sono pubblicati in volumi miscellanei editi da Gangemi, Gli Ori, Postmedia Books e altri. Nel 2016 ha fatto parte del Comitato Scientifico che ha curato il Padiglione Italia per la Biennale di Architettura a Venezia </w:t>
      </w:r>
    </w:p>
    <w:p>
      <w:pPr>
        <w:pStyle w:val="Titolo 2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OBIETTIVI</w:t>
      </w:r>
    </w:p>
    <w:p>
      <w:pPr>
        <w:pStyle w:val="Normale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(500 caratteri max spazi inclusi)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40" w:lineRule="exact"/>
        <w:jc w:val="both"/>
        <w:rPr>
          <w:rFonts w:ascii="Arial Narrow" w:cs="Arial Narrow" w:hAnsi="Arial Narrow" w:eastAsia="Arial Narrow"/>
          <w:color w:val="282828"/>
          <w:sz w:val="24"/>
          <w:szCs w:val="24"/>
          <w:u w:color="282828"/>
          <w:shd w:val="clear" w:color="auto" w:fill="ffffff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40" w:lineRule="exact"/>
        <w:jc w:val="both"/>
        <w:rPr>
          <w:rFonts w:ascii="Arial Narrow" w:cs="Arial Narrow" w:hAnsi="Arial Narrow" w:eastAsia="Arial Narrow"/>
          <w:color w:val="282828"/>
          <w:sz w:val="24"/>
          <w:szCs w:val="24"/>
          <w:u w:color="282828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u w:color="000000"/>
          <w:shd w:val="clear" w:color="auto" w:fill="ffffff"/>
          <w:rtl w:val="0"/>
          <w:lang w:val="it-IT"/>
        </w:rPr>
        <w:t>Il corso punta a dotare gli studenti di strumenti che, usualmente, non sono offerti dalla formazione nelle accademie. Dati per acquisti - previa verifica - i fondamenti storico- metodologici della disciplina, si propone quindi agli iscritti di praticare empiricamente nozioni, teorie e indicazioni operative discusse nella bibliografia ed esposti negli esempi descritti durante le lezioni.</w:t>
      </w:r>
    </w:p>
    <w:p>
      <w:pPr>
        <w:pStyle w:val="Titolo 2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CONTENUTI</w:t>
      </w:r>
    </w:p>
    <w:p>
      <w:pPr>
        <w:pStyle w:val="Normale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(500 caratteri max spazi inclusi)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40" w:lineRule="exact"/>
        <w:jc w:val="both"/>
        <w:rPr>
          <w:rFonts w:ascii="Arial Narrow" w:cs="Arial Narrow" w:hAnsi="Arial Narrow" w:eastAsia="Arial Narrow"/>
          <w:color w:val="282828"/>
          <w:sz w:val="24"/>
          <w:szCs w:val="24"/>
          <w:u w:color="282828"/>
          <w:shd w:val="clear" w:color="auto" w:fill="ffffff"/>
        </w:rPr>
      </w:pPr>
      <w:r>
        <w:rPr>
          <w:rFonts w:ascii="Arial Narrow" w:hAnsi="Arial Narrow"/>
          <w:color w:val="000000"/>
          <w:sz w:val="24"/>
          <w:szCs w:val="24"/>
          <w:u w:color="000000"/>
          <w:shd w:val="clear" w:color="auto" w:fill="ffffff"/>
          <w:rtl w:val="0"/>
          <w:lang w:val="it-IT"/>
        </w:rPr>
        <w:t xml:space="preserve">Il corso, dal titolo </w:t>
      </w:r>
      <w:r>
        <w:rPr>
          <w:rFonts w:ascii="Arial Narrow" w:hAnsi="Arial Narrow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it-IT"/>
        </w:rPr>
        <w:t>Dalla critica alle istituzioni alla critica delle istituzioni - From Insititutional Critique to New Institutionalism</w:t>
      </w:r>
      <w:r>
        <w:rPr>
          <w:rFonts w:ascii="Arial Narrow" w:hAnsi="Arial Narrow"/>
          <w:color w:val="000000"/>
          <w:sz w:val="24"/>
          <w:szCs w:val="24"/>
          <w:u w:color="000000"/>
          <w:shd w:val="clear" w:color="auto" w:fill="ffffff"/>
          <w:rtl w:val="0"/>
          <w:lang w:val="it-IT"/>
        </w:rPr>
        <w:t xml:space="preserve">, </w:t>
      </w:r>
      <w:r>
        <w:rPr>
          <w:rFonts w:ascii="Arial Narrow" w:hAnsi="Arial Narrow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>mira a indagare il rapporto intercorrente fra i tre principali protagonisti dell</w:t>
      </w:r>
      <w:r>
        <w:rPr>
          <w:rFonts w:ascii="Arial Narrow" w:hAnsi="Arial Narrow" w:hint="default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>arte contemporanea: artisti, istituzioni, pubblico. Da un</w:t>
      </w:r>
      <w:r>
        <w:rPr>
          <w:rFonts w:ascii="Arial Narrow" w:hAnsi="Arial Narrow" w:hint="default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>iniziale collocazione storico-critica del fenomeno, si passa a una pi</w:t>
      </w:r>
      <w:r>
        <w:rPr>
          <w:rFonts w:ascii="Arial Narrow" w:hAnsi="Arial Narrow" w:hint="default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 xml:space="preserve">ù </w:t>
      </w:r>
      <w:r>
        <w:rPr>
          <w:rFonts w:ascii="Arial Narrow" w:hAnsi="Arial Narrow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>precisa connotazione teoretica. Si discutono i pionieri della pratica in oggetto (Institutional Critique), risalendo nei decenni sino al principio del nuovo secolo, quando entrano in gioco le strategie conosciute come New Institutionalism e prendono slancio le nuove pratiche curatoriali, pi</w:t>
      </w:r>
      <w:r>
        <w:rPr>
          <w:rFonts w:ascii="Arial Narrow" w:hAnsi="Arial Narrow" w:hint="default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 xml:space="preserve">ù </w:t>
      </w:r>
      <w:r>
        <w:rPr>
          <w:rFonts w:ascii="Arial Narrow" w:hAnsi="Arial Narrow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 xml:space="preserve">accentratrici e performative. </w:t>
      </w:r>
      <w:r>
        <w:rPr>
          <w:rFonts w:ascii="Arial Narrow" w:hAnsi="Arial Narrow" w:hint="default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 xml:space="preserve">È </w:t>
      </w:r>
      <w:r>
        <w:rPr>
          <w:rFonts w:ascii="Arial Narrow" w:hAnsi="Arial Narrow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>dato spazio anche ai principi della nuova museografia indirizzati a un ampliamento del pubblico nei musei, portando anche esperienze tratte dalle vicende internazionali pi</w:t>
      </w:r>
      <w:r>
        <w:rPr>
          <w:rFonts w:ascii="Arial Narrow" w:hAnsi="Arial Narrow" w:hint="default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 xml:space="preserve">ù </w:t>
      </w:r>
      <w:r>
        <w:rPr>
          <w:rFonts w:ascii="Arial Narrow" w:hAnsi="Arial Narrow"/>
          <w:color w:val="282828"/>
          <w:sz w:val="24"/>
          <w:szCs w:val="24"/>
          <w:u w:color="282828"/>
          <w:shd w:val="clear" w:color="auto" w:fill="ffffff"/>
          <w:rtl w:val="0"/>
          <w:lang w:val="it-IT"/>
        </w:rPr>
        <w:t>recenti.</w:t>
      </w:r>
    </w:p>
    <w:p>
      <w:pPr>
        <w:pStyle w:val="Titolo 2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PREREQUISITI</w:t>
      </w:r>
    </w:p>
    <w:p>
      <w:pPr>
        <w:pStyle w:val="Normale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(Eventuali insegnamenti propedeutici)</w:t>
      </w:r>
    </w:p>
    <w:p>
      <w:pPr>
        <w:pStyle w:val="Titolo 2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TESTI CONSIGLIATI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40" w:lineRule="exact"/>
        <w:jc w:val="both"/>
        <w:rPr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  <w:rtl w:val="0"/>
          <w:lang w:val="de-DE"/>
        </w:rPr>
        <w:t xml:space="preserve">Y.-A. Bois, B. Buchloh, H. Foster, R. Krauss,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it-IT"/>
        </w:rPr>
        <w:t>Art Since 1900: Modernism, Antimodernism, Postmodernism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, 2004, Trad. it.,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it-IT"/>
        </w:rPr>
        <w:t>Arte dal 1900: Modernismo Antimodernismo Postmodernismo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, Zanichelli, Bologna 2006, pp. 22-31, 480-485, 527-559, 605-629.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it-IT"/>
        </w:rPr>
        <w:br w:type="textWrapping"/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Stefano Chiodi (a cura di),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it-IT"/>
        </w:rPr>
        <w:t>Le funzioni del museo. Arte, museo, pubblico nella contemporaneit</w:t>
      </w:r>
      <w:r>
        <w:rPr>
          <w:rFonts w:ascii="Arial Narrow" w:hAnsi="Arial Narrow" w:hint="default"/>
          <w:i w:val="1"/>
          <w:iCs w:val="1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, Le lettere, Firenze 2009.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it-IT"/>
        </w:rPr>
        <w:br w:type="textWrapping"/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Maurizio Coccia,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it-IT"/>
        </w:rPr>
        <w:t>Il leone imbrigliato. Artisti Istituzioni Pubblico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, Castelvecchi, Roma, 2019.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it-IT"/>
        </w:rPr>
        <w:br w:type="textWrapping"/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 xml:space="preserve">Raffaella Fontanarossa,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en-US"/>
        </w:rPr>
        <w:t>Collezionisti e musei. Una storia culturale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n-US"/>
        </w:rPr>
        <w:t>,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 Einaudi, Torino, 20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22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.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it-IT"/>
        </w:rPr>
        <w:br w:type="textWrapping"/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Testi complementari (da leggere):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it-IT"/>
        </w:rPr>
        <w:br w:type="textWrapping"/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- Don DeLillo,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en-US"/>
        </w:rPr>
        <w:t>Body Art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, Torino, Einaudi, 2001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it-IT"/>
        </w:rPr>
        <w:br w:type="textWrapping"/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- Don DeLillo,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it-IT"/>
        </w:rPr>
        <w:t>Punto omega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, Torino, Einaudi, 2010</w:t>
      </w:r>
      <w:r>
        <w:rPr>
          <w:rFonts w:ascii="Arial Unicode MS" w:cs="Arial Unicode MS" w:hAnsi="Arial Unicode MS" w:eastAsia="Arial Unicode MS"/>
          <w:sz w:val="24"/>
          <w:szCs w:val="24"/>
          <w:shd w:val="clear" w:color="auto" w:fill="ffffff"/>
          <w:lang w:val="it-IT"/>
        </w:rPr>
        <w:br w:type="textWrapping"/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- 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es-ES_tradnl"/>
        </w:rPr>
        <w:t xml:space="preserve">Yasmina Reza,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pt-PT"/>
        </w:rPr>
        <w:t>Arte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>, Milano, Adelphi, 2009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after="240" w:line="240" w:lineRule="exact"/>
        <w:jc w:val="both"/>
        <w:rPr>
          <w:rFonts w:ascii="Arial Narrow" w:cs="Arial Narrow" w:hAnsi="Arial Narrow" w:eastAsia="Arial Narrow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Filmografia: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de-DE"/>
        </w:rPr>
        <w:t>Boogie Woogie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, regia di Duncan Ward, 2009 Podcast: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it-IT"/>
        </w:rPr>
        <w:t>Tutta l</w:t>
      </w:r>
      <w:r>
        <w:rPr>
          <w:rFonts w:ascii="Arial Narrow" w:hAnsi="Arial Narrow" w:hint="default"/>
          <w:i w:val="1"/>
          <w:i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fr-FR"/>
        </w:rPr>
        <w:t>umanit</w:t>
      </w:r>
      <w:r>
        <w:rPr>
          <w:rFonts w:ascii="Arial Narrow" w:hAnsi="Arial Narrow" w:hint="default"/>
          <w:i w:val="1"/>
          <w:iCs w:val="1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Arial Narrow" w:hAnsi="Arial Narrow"/>
          <w:i w:val="1"/>
          <w:iCs w:val="1"/>
          <w:sz w:val="24"/>
          <w:szCs w:val="24"/>
          <w:shd w:val="clear" w:color="auto" w:fill="ffffff"/>
          <w:rtl w:val="0"/>
          <w:lang w:val="fr-FR"/>
        </w:rPr>
        <w:t>ne parla</w:t>
      </w:r>
      <w:r>
        <w:rPr>
          <w:rFonts w:ascii="Arial Narrow" w:hAnsi="Arial Narrow"/>
          <w:sz w:val="24"/>
          <w:szCs w:val="24"/>
          <w:shd w:val="clear" w:color="auto" w:fill="ffffff"/>
          <w:rtl w:val="0"/>
          <w:lang w:val="it-IT"/>
        </w:rPr>
        <w:t xml:space="preserve">, Radio 3 (27-10-2018) </w:t>
      </w:r>
    </w:p>
    <w:p>
      <w:pPr>
        <w:pStyle w:val="Titolo 2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MODALIT</w:t>
      </w:r>
      <w:r>
        <w:rPr>
          <w:rFonts w:ascii="Arial Narrow" w:hAnsi="Arial Narrow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 Narrow" w:hAnsi="Arial Narrow"/>
          <w:sz w:val="24"/>
          <w:szCs w:val="24"/>
          <w:rtl w:val="0"/>
          <w:lang w:val="it-IT"/>
        </w:rPr>
        <w:t>DI VERIFICA DEL PROFITTO</w:t>
      </w:r>
    </w:p>
    <w:p>
      <w:pPr>
        <w:pStyle w:val="Normale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(300 caratteri max spazi inclusi)</w:t>
      </w:r>
    </w:p>
    <w:p>
      <w:pPr>
        <w:pStyle w:val="Normale"/>
        <w:keepNext w:val="1"/>
        <w:spacing w:line="240" w:lineRule="exact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it-IT"/>
        </w:rPr>
        <w:t>L</w:t>
      </w:r>
      <w:r>
        <w:rPr>
          <w:rFonts w:ascii="Arial Narrow" w:hAnsi="Arial Narrow" w:hint="default"/>
          <w:sz w:val="24"/>
          <w:szCs w:val="24"/>
          <w:rtl w:val="0"/>
          <w:lang w:val="it-IT"/>
        </w:rPr>
        <w:t>’</w:t>
      </w:r>
      <w:r>
        <w:rPr>
          <w:rFonts w:ascii="Arial Narrow" w:hAnsi="Arial Narrow"/>
          <w:sz w:val="24"/>
          <w:szCs w:val="24"/>
          <w:rtl w:val="0"/>
          <w:lang w:val="it-IT"/>
        </w:rPr>
        <w:t>esame verter</w:t>
      </w:r>
      <w:r>
        <w:rPr>
          <w:rFonts w:ascii="Arial Narrow" w:hAnsi="Arial Narrow" w:hint="default"/>
          <w:sz w:val="24"/>
          <w:szCs w:val="24"/>
          <w:rtl w:val="0"/>
          <w:lang w:val="it-IT"/>
        </w:rPr>
        <w:t xml:space="preserve">à </w:t>
      </w:r>
      <w:r>
        <w:rPr>
          <w:rFonts w:ascii="Arial Narrow" w:hAnsi="Arial Narrow"/>
          <w:sz w:val="24"/>
          <w:szCs w:val="24"/>
          <w:rtl w:val="0"/>
          <w:lang w:val="it-IT"/>
        </w:rPr>
        <w:t>su una interrogazione orale, relativa ai temi del corso e del manuale, e alla redazione di una</w:t>
      </w:r>
    </w:p>
    <w:p>
      <w:pPr>
        <w:pStyle w:val="Normale"/>
        <w:keepNext w:val="1"/>
        <w:spacing w:line="240" w:lineRule="exact"/>
      </w:pPr>
      <w:r>
        <w:rPr>
          <w:rFonts w:ascii="Arial Narrow" w:hAnsi="Arial Narrow"/>
          <w:sz w:val="24"/>
          <w:szCs w:val="24"/>
          <w:rtl w:val="0"/>
          <w:lang w:val="it-IT"/>
        </w:rPr>
        <w:t>ricerca originale scritta su un argomento da concordare con il docente.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olo corso">
    <w:name w:val="titolo corso"/>
    <w:next w:val="titolo cors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0" w:line="360" w:lineRule="auto"/>
      <w:ind w:left="0" w:right="0" w:firstLine="0"/>
      <w:jc w:val="both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120" w:line="240" w:lineRule="auto"/>
      <w:ind w:left="0" w:right="0" w:firstLine="0"/>
      <w:jc w:val="both"/>
      <w:outlineLvl w:val="1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